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77" w:rsidRDefault="00767CF0">
      <w:r>
        <w:t xml:space="preserve">UNIVERSIDAD CATÓLICA DEL TÁCHIRA VICERRECTORADO ACADÉMICO ESCUELA DE DERECHO SITUACIÓN Autor: El </w:t>
      </w:r>
      <w:proofErr w:type="spellStart"/>
      <w:r>
        <w:t>Hinnawi</w:t>
      </w:r>
      <w:proofErr w:type="spellEnd"/>
      <w:r>
        <w:t xml:space="preserve">, </w:t>
      </w:r>
      <w:proofErr w:type="spellStart"/>
      <w:r>
        <w:t>Samiha</w:t>
      </w:r>
      <w:proofErr w:type="spellEnd"/>
      <w:r>
        <w:t xml:space="preserve"> Tutor: Duque, Dolly Año: 2020 RESUMEN La presente investigación es documental, descriptiva, bibliográfica. Se enmarca en el derecho internacional público y políticas de gobierno. Se pretende analizar las medidas intervencionistas de Organismos Internacionales para salvaguardar los derechos humanos y el restablecimiento de la democracia en el país. Se planteó como objetivo general el analizar la eficacia de las medidas intervencionistas de organizaciones internacionales en Cuba y Haití como solución para la crisis venezolana. Y como objetivos específicos en primer lugar, describir los contextos socio políticos de Cuba y Haití en los cuales la ONU y OEA han aplicado mecanismos de presión ante violaciones a la democracia y los DDHH; segundo, estudiar los mecanismos de acción con que cuentan la ONU y la OEA a fin de restaurar la paz y democracia en el mundo; por </w:t>
      </w:r>
      <w:proofErr w:type="gramStart"/>
      <w:r>
        <w:t>último</w:t>
      </w:r>
      <w:proofErr w:type="gramEnd"/>
      <w:r>
        <w:t xml:space="preserve"> describir medidas tomadas por las ONU y OEA en relación a Cuba y Haití como soluciones a la crisis generada. En la primera parte de la investigación se analiza el contexto social y político cubanos y haitiano, en la segunda las medidas internacionales que pueden activarse con su respectivo desarrollo legal y por último una visión a la situación venezolana </w:t>
      </w:r>
      <w:proofErr w:type="gramStart"/>
      <w:r>
        <w:t>y</w:t>
      </w:r>
      <w:proofErr w:type="gramEnd"/>
      <w:r>
        <w:t xml:space="preserve"> por ende, ser susceptible de medias internacionales por vivir situaciones semejantes a las ocurridas en los países vecinos de las Antillas. Se llega a la conclusión que Venezuela vive situaciones similares a la cubana por la violación sistemática de derechos humanos (libertad de expresión, adoctrinamiento, carencia de servicios) y una crisis migratoria parecida a la de Haití, pero distinta al dirigirse los inmigrantes a múltiples sitios indistintos. Descriptores: Derecho Internacional Público, situación cubana, crisis haitiana, Derechos Humanos, organismos internacionales</w:t>
      </w:r>
      <w:bookmarkStart w:id="0" w:name="_GoBack"/>
      <w:bookmarkEnd w:id="0"/>
    </w:p>
    <w:sectPr w:rsidR="00862F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F0"/>
    <w:rsid w:val="00767CF0"/>
    <w:rsid w:val="008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132CE0-E13F-4442-BA12-AD71E10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Moncada</dc:creator>
  <cp:keywords/>
  <dc:description/>
  <cp:lastModifiedBy>Roxana Moncada</cp:lastModifiedBy>
  <cp:revision>1</cp:revision>
  <dcterms:created xsi:type="dcterms:W3CDTF">2022-11-29T14:55:00Z</dcterms:created>
  <dcterms:modified xsi:type="dcterms:W3CDTF">2022-11-29T14:56:00Z</dcterms:modified>
</cp:coreProperties>
</file>