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2D" w:rsidRPr="00E6562D" w:rsidRDefault="00E6562D" w:rsidP="00E6562D">
      <w:pPr>
        <w:spacing w:before="240" w:after="240" w:line="240" w:lineRule="auto"/>
        <w:jc w:val="center"/>
        <w:rPr>
          <w:sz w:val="24"/>
          <w:szCs w:val="24"/>
        </w:rPr>
      </w:pPr>
      <w:r w:rsidRPr="00E6562D">
        <w:rPr>
          <w:noProof/>
          <w:sz w:val="24"/>
          <w:szCs w:val="24"/>
          <w:lang w:val="es-VE" w:eastAsia="es-VE"/>
        </w:rPr>
        <w:drawing>
          <wp:inline distT="0" distB="0" distL="0" distR="0" wp14:anchorId="3FE3A0AD" wp14:editId="1A97E7F7">
            <wp:extent cx="914400" cy="742950"/>
            <wp:effectExtent l="0" t="0" r="0" b="0"/>
            <wp:docPr id="2" name="Imagen 2" descr="logo_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c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inline>
        </w:drawing>
      </w:r>
    </w:p>
    <w:p w:rsidR="00E6562D" w:rsidRPr="00E6562D" w:rsidRDefault="00E6562D" w:rsidP="00E6562D">
      <w:pPr>
        <w:spacing w:before="240" w:after="240" w:line="360" w:lineRule="auto"/>
        <w:jc w:val="center"/>
        <w:rPr>
          <w:rFonts w:ascii="Arial" w:hAnsi="Arial" w:cs="Arial"/>
          <w:b/>
          <w:noProof/>
          <w:sz w:val="24"/>
          <w:szCs w:val="24"/>
          <w:lang w:val="es-ES_tradnl" w:eastAsia="es-VE"/>
        </w:rPr>
      </w:pPr>
      <w:r w:rsidRPr="00E6562D">
        <w:rPr>
          <w:rFonts w:ascii="Arial" w:hAnsi="Arial" w:cs="Arial"/>
          <w:b/>
          <w:noProof/>
          <w:sz w:val="24"/>
          <w:szCs w:val="24"/>
          <w:lang w:val="es-ES_tradnl" w:eastAsia="es-VE"/>
        </w:rPr>
        <w:t>UNIVERSIDAD CATÓLICA DEL TÁCHIRA</w:t>
      </w:r>
    </w:p>
    <w:p w:rsidR="00E6562D" w:rsidRPr="00E6562D" w:rsidRDefault="00E6562D" w:rsidP="00E6562D">
      <w:pPr>
        <w:spacing w:before="240" w:after="240" w:line="360" w:lineRule="auto"/>
        <w:jc w:val="center"/>
        <w:rPr>
          <w:rFonts w:ascii="Arial" w:hAnsi="Arial" w:cs="Arial"/>
          <w:b/>
          <w:sz w:val="24"/>
          <w:szCs w:val="24"/>
          <w:lang w:val="es-VE" w:eastAsia="en-US"/>
        </w:rPr>
      </w:pPr>
      <w:r w:rsidRPr="00E6562D">
        <w:rPr>
          <w:rFonts w:ascii="Arial" w:hAnsi="Arial" w:cs="Arial"/>
          <w:b/>
          <w:sz w:val="24"/>
          <w:szCs w:val="24"/>
          <w:lang w:val="es-ES"/>
        </w:rPr>
        <w:t>FACULTAD DE CIENCIAS JURÍDICAS Y POLÍTICAS</w:t>
      </w:r>
    </w:p>
    <w:p w:rsidR="00E6562D" w:rsidRPr="00E6562D" w:rsidRDefault="00E6562D" w:rsidP="00E6562D">
      <w:pPr>
        <w:spacing w:before="240" w:after="240" w:line="360" w:lineRule="auto"/>
        <w:jc w:val="center"/>
        <w:rPr>
          <w:rFonts w:ascii="Arial" w:hAnsi="Arial" w:cs="Arial"/>
          <w:sz w:val="24"/>
          <w:szCs w:val="24"/>
          <w:lang w:val="es-ES_tradnl"/>
        </w:rPr>
      </w:pPr>
      <w:r w:rsidRPr="00E6562D">
        <w:rPr>
          <w:rFonts w:ascii="Arial" w:hAnsi="Arial" w:cs="Arial"/>
          <w:b/>
          <w:sz w:val="24"/>
          <w:szCs w:val="24"/>
          <w:lang w:val="es-ES"/>
        </w:rPr>
        <w:t>ESCUELA DE DERECHO</w:t>
      </w:r>
    </w:p>
    <w:p w:rsidR="00E6562D" w:rsidRPr="00E6562D" w:rsidRDefault="00E6562D" w:rsidP="00E6562D">
      <w:pPr>
        <w:spacing w:before="240" w:after="240" w:line="360" w:lineRule="auto"/>
        <w:jc w:val="center"/>
        <w:rPr>
          <w:rFonts w:ascii="Arial" w:hAnsi="Arial" w:cs="Arial"/>
          <w:sz w:val="24"/>
          <w:szCs w:val="24"/>
          <w:lang w:val="es-ES_tradnl"/>
        </w:rPr>
      </w:pPr>
    </w:p>
    <w:p w:rsidR="00E6562D" w:rsidRPr="00E6562D" w:rsidRDefault="00E6562D" w:rsidP="00E6562D">
      <w:pPr>
        <w:spacing w:before="240" w:after="240" w:line="360" w:lineRule="auto"/>
        <w:jc w:val="center"/>
        <w:rPr>
          <w:rFonts w:ascii="Arial" w:hAnsi="Arial" w:cs="Arial"/>
          <w:b/>
          <w:sz w:val="24"/>
          <w:u w:val="single"/>
          <w:lang w:val="es-ES"/>
        </w:rPr>
      </w:pPr>
      <w:r w:rsidRPr="00E6562D">
        <w:rPr>
          <w:rFonts w:ascii="Arial" w:hAnsi="Arial" w:cs="Arial"/>
          <w:b/>
          <w:sz w:val="24"/>
          <w:u w:val="single"/>
          <w:lang w:val="es-ES"/>
        </w:rPr>
        <w:t>LEGALIDAD DEL PAGO TRIBUTARIO EN CRIPTOMONEDAS EN VENEZUELA</w:t>
      </w:r>
    </w:p>
    <w:p w:rsidR="00E6562D" w:rsidRPr="00E6562D" w:rsidRDefault="00E6562D" w:rsidP="00E6562D">
      <w:pPr>
        <w:spacing w:before="240" w:after="240" w:line="360" w:lineRule="auto"/>
        <w:jc w:val="right"/>
        <w:rPr>
          <w:rFonts w:ascii="Arial" w:hAnsi="Arial" w:cs="Arial"/>
          <w:b/>
          <w:lang w:val="es-ES"/>
        </w:rPr>
      </w:pPr>
    </w:p>
    <w:p w:rsidR="00E6562D" w:rsidRPr="00E6562D" w:rsidRDefault="00E6562D" w:rsidP="00E6562D">
      <w:pPr>
        <w:spacing w:before="240" w:after="240" w:line="360" w:lineRule="auto"/>
        <w:jc w:val="right"/>
        <w:rPr>
          <w:rFonts w:ascii="Arial" w:hAnsi="Arial" w:cs="Arial"/>
          <w:lang w:val="es-ES_tradnl"/>
        </w:rPr>
      </w:pPr>
      <w:r w:rsidRPr="00E6562D">
        <w:rPr>
          <w:rFonts w:ascii="Arial" w:hAnsi="Arial" w:cs="Arial"/>
          <w:b/>
          <w:lang w:val="es-ES_tradnl"/>
        </w:rPr>
        <w:t xml:space="preserve">Autor: </w:t>
      </w:r>
      <w:r w:rsidRPr="00E6562D">
        <w:rPr>
          <w:rFonts w:ascii="Arial" w:hAnsi="Arial" w:cs="Arial"/>
          <w:lang w:val="es-ES_tradnl"/>
        </w:rPr>
        <w:t>Delgado, Roxana</w:t>
      </w:r>
    </w:p>
    <w:p w:rsidR="00E6562D" w:rsidRPr="00E6562D" w:rsidRDefault="00E6562D" w:rsidP="00E6562D">
      <w:pPr>
        <w:spacing w:before="240" w:after="240" w:line="360" w:lineRule="auto"/>
        <w:jc w:val="right"/>
        <w:rPr>
          <w:rFonts w:ascii="Arial" w:hAnsi="Arial" w:cs="Arial"/>
          <w:lang w:val="es-ES_tradnl"/>
        </w:rPr>
      </w:pPr>
      <w:r w:rsidRPr="00E6562D">
        <w:rPr>
          <w:rFonts w:ascii="Arial" w:hAnsi="Arial" w:cs="Arial"/>
          <w:b/>
          <w:lang w:val="es-ES_tradnl"/>
        </w:rPr>
        <w:t>Tutor:</w:t>
      </w:r>
      <w:r w:rsidRPr="00E6562D">
        <w:rPr>
          <w:rFonts w:ascii="Arial" w:hAnsi="Arial" w:cs="Arial"/>
          <w:lang w:val="es-ES_tradnl"/>
        </w:rPr>
        <w:t xml:space="preserve"> Calderón, Ana</w:t>
      </w:r>
    </w:p>
    <w:p w:rsidR="00E6562D" w:rsidRPr="00E6562D" w:rsidRDefault="00E6562D" w:rsidP="00E6562D">
      <w:pPr>
        <w:spacing w:before="240" w:after="240" w:line="360" w:lineRule="auto"/>
        <w:jc w:val="right"/>
        <w:rPr>
          <w:rFonts w:ascii="Arial" w:hAnsi="Arial" w:cs="Arial"/>
          <w:lang w:val="es-ES_tradnl"/>
        </w:rPr>
      </w:pPr>
      <w:r w:rsidRPr="00E6562D">
        <w:rPr>
          <w:rFonts w:ascii="Arial" w:hAnsi="Arial" w:cs="Arial"/>
          <w:b/>
          <w:lang w:val="es-ES_tradnl"/>
        </w:rPr>
        <w:t>Año</w:t>
      </w:r>
      <w:r w:rsidRPr="00E6562D">
        <w:rPr>
          <w:rFonts w:ascii="Arial" w:hAnsi="Arial" w:cs="Arial"/>
          <w:lang w:val="es-ES_tradnl"/>
        </w:rPr>
        <w:t>: 2021</w:t>
      </w:r>
    </w:p>
    <w:p w:rsidR="00E6562D" w:rsidRPr="00E6562D" w:rsidRDefault="00E6562D" w:rsidP="00E6562D">
      <w:pPr>
        <w:spacing w:before="240" w:after="240" w:line="360" w:lineRule="auto"/>
        <w:jc w:val="center"/>
        <w:rPr>
          <w:rFonts w:ascii="Arial" w:hAnsi="Arial" w:cs="Arial"/>
          <w:b/>
          <w:sz w:val="28"/>
          <w:lang w:val="es-ES"/>
        </w:rPr>
      </w:pPr>
    </w:p>
    <w:p w:rsidR="00F41035" w:rsidRDefault="00F41035" w:rsidP="00E6562D">
      <w:pPr>
        <w:spacing w:before="240" w:after="240" w:line="360" w:lineRule="auto"/>
        <w:jc w:val="center"/>
        <w:rPr>
          <w:rFonts w:ascii="Arial" w:hAnsi="Arial" w:cs="Arial"/>
          <w:b/>
          <w:sz w:val="28"/>
          <w:lang w:val="es-ES"/>
        </w:rPr>
      </w:pPr>
    </w:p>
    <w:p w:rsidR="00F41035" w:rsidRDefault="00F41035" w:rsidP="00E6562D">
      <w:pPr>
        <w:spacing w:before="240" w:after="240" w:line="360" w:lineRule="auto"/>
        <w:jc w:val="center"/>
        <w:rPr>
          <w:rFonts w:ascii="Arial" w:hAnsi="Arial" w:cs="Arial"/>
          <w:b/>
          <w:sz w:val="28"/>
          <w:lang w:val="es-ES"/>
        </w:rPr>
      </w:pPr>
    </w:p>
    <w:p w:rsidR="00F41035" w:rsidRDefault="00F41035" w:rsidP="00E6562D">
      <w:pPr>
        <w:spacing w:before="240" w:after="240" w:line="360" w:lineRule="auto"/>
        <w:jc w:val="center"/>
        <w:rPr>
          <w:rFonts w:ascii="Arial" w:hAnsi="Arial" w:cs="Arial"/>
          <w:b/>
          <w:sz w:val="28"/>
          <w:lang w:val="es-ES"/>
        </w:rPr>
      </w:pPr>
    </w:p>
    <w:p w:rsidR="00F41035" w:rsidRDefault="00F41035" w:rsidP="00E6562D">
      <w:pPr>
        <w:spacing w:before="240" w:after="240" w:line="360" w:lineRule="auto"/>
        <w:jc w:val="center"/>
        <w:rPr>
          <w:rFonts w:ascii="Arial" w:hAnsi="Arial" w:cs="Arial"/>
          <w:b/>
          <w:sz w:val="28"/>
          <w:lang w:val="es-ES"/>
        </w:rPr>
      </w:pPr>
    </w:p>
    <w:p w:rsidR="00F41035" w:rsidRDefault="00F41035" w:rsidP="00E6562D">
      <w:pPr>
        <w:spacing w:before="240" w:after="240" w:line="360" w:lineRule="auto"/>
        <w:jc w:val="center"/>
        <w:rPr>
          <w:rFonts w:ascii="Arial" w:hAnsi="Arial" w:cs="Arial"/>
          <w:b/>
          <w:sz w:val="28"/>
          <w:lang w:val="es-ES"/>
        </w:rPr>
      </w:pPr>
    </w:p>
    <w:p w:rsidR="00E6562D" w:rsidRPr="00E6562D" w:rsidRDefault="00E6562D" w:rsidP="00E6562D">
      <w:pPr>
        <w:spacing w:before="240" w:after="240" w:line="360" w:lineRule="auto"/>
        <w:jc w:val="center"/>
        <w:rPr>
          <w:rFonts w:ascii="Arial" w:hAnsi="Arial" w:cs="Arial"/>
          <w:b/>
          <w:sz w:val="28"/>
          <w:lang w:val="es-ES"/>
        </w:rPr>
      </w:pPr>
      <w:r w:rsidRPr="00E6562D">
        <w:rPr>
          <w:rFonts w:ascii="Arial" w:hAnsi="Arial" w:cs="Arial"/>
          <w:b/>
          <w:sz w:val="28"/>
          <w:lang w:val="es-ES"/>
        </w:rPr>
        <w:lastRenderedPageBreak/>
        <w:t>RESUMEN</w:t>
      </w:r>
    </w:p>
    <w:p w:rsidR="00E6562D" w:rsidRPr="00E6562D" w:rsidRDefault="00E6562D" w:rsidP="00E6562D">
      <w:pPr>
        <w:spacing w:before="240" w:after="240" w:line="360" w:lineRule="auto"/>
        <w:jc w:val="both"/>
        <w:rPr>
          <w:rFonts w:ascii="Arial" w:hAnsi="Arial" w:cs="Arial"/>
          <w:lang w:val="es-ES"/>
        </w:rPr>
      </w:pPr>
      <w:r w:rsidRPr="00E6562D">
        <w:rPr>
          <w:rFonts w:ascii="Arial" w:hAnsi="Arial" w:cs="Arial"/>
          <w:lang w:val="es-ES"/>
        </w:rPr>
        <w:t xml:space="preserve">El objetivo general de ésta investigación es analizar la legalidad del pago tributario en </w:t>
      </w:r>
      <w:proofErr w:type="spellStart"/>
      <w:r w:rsidRPr="00E6562D">
        <w:rPr>
          <w:rFonts w:ascii="Arial" w:hAnsi="Arial" w:cs="Arial"/>
          <w:lang w:val="es-ES"/>
        </w:rPr>
        <w:t>criptomonedas</w:t>
      </w:r>
      <w:proofErr w:type="spellEnd"/>
      <w:r w:rsidRPr="00E6562D">
        <w:rPr>
          <w:rFonts w:ascii="Arial" w:hAnsi="Arial" w:cs="Arial"/>
          <w:lang w:val="es-ES"/>
        </w:rPr>
        <w:t xml:space="preserve"> en Venezuela, y cuyos objetivos específicos son estudiar las generalidades de la criptomoneda, identificar la moneda establecida como forma de pago tributario en Venezuela de acuerdo al Código Orgánico Tributario vigente y a la Constitución y determinar la legalidad del uso de las </w:t>
      </w:r>
      <w:proofErr w:type="spellStart"/>
      <w:r w:rsidRPr="00E6562D">
        <w:rPr>
          <w:rFonts w:ascii="Arial" w:hAnsi="Arial" w:cs="Arial"/>
          <w:lang w:val="es-ES"/>
        </w:rPr>
        <w:t>criptomonedas</w:t>
      </w:r>
      <w:proofErr w:type="spellEnd"/>
      <w:r w:rsidRPr="00E6562D">
        <w:rPr>
          <w:rFonts w:ascii="Arial" w:hAnsi="Arial" w:cs="Arial"/>
          <w:lang w:val="es-ES"/>
        </w:rPr>
        <w:t xml:space="preserve"> como forma de pago tributario en Venezuela. Éste trabajo de investigación se realiza de acuerdo a la metodología documental y descriptiva. De acuerdo a estudiosos, la criptomoneda se considera un activo digital, a pesar de ser conocida en términos como “moneda virtual”, Venezuela define los </w:t>
      </w:r>
      <w:proofErr w:type="spellStart"/>
      <w:r w:rsidRPr="00E6562D">
        <w:rPr>
          <w:rFonts w:ascii="Arial" w:hAnsi="Arial" w:cs="Arial"/>
          <w:lang w:val="es-ES"/>
        </w:rPr>
        <w:t>criptoactivos</w:t>
      </w:r>
      <w:proofErr w:type="spellEnd"/>
      <w:r w:rsidRPr="00E6562D">
        <w:rPr>
          <w:rFonts w:ascii="Arial" w:hAnsi="Arial" w:cs="Arial"/>
          <w:lang w:val="es-ES"/>
        </w:rPr>
        <w:t xml:space="preserve"> también llamadas </w:t>
      </w:r>
      <w:proofErr w:type="spellStart"/>
      <w:r w:rsidRPr="00E6562D">
        <w:rPr>
          <w:rFonts w:ascii="Arial" w:hAnsi="Arial" w:cs="Arial"/>
          <w:lang w:val="es-ES"/>
        </w:rPr>
        <w:t>criptomonedas</w:t>
      </w:r>
      <w:proofErr w:type="spellEnd"/>
      <w:r w:rsidRPr="00E6562D">
        <w:rPr>
          <w:rFonts w:ascii="Arial" w:hAnsi="Arial" w:cs="Arial"/>
          <w:lang w:val="es-ES"/>
        </w:rPr>
        <w:t xml:space="preserve"> como un activo digital. La Carta Magna venezolana establece en el artículo 318 como unidad monetaria en el país al Bolívar, de la misma manera el Código Orgánico Tributario en el artículo 146 establece que las cantidades por concepto de tributos deberán expresarse y pagarse en Bolívares, siendo así podría determinarse al Bolívar como moneda de curso legal en el país. En Venezuela, diferentes autoridades tanto estadales como municipales, han aprobado instrumentos regulatorios que fijan al </w:t>
      </w:r>
      <w:proofErr w:type="spellStart"/>
      <w:r w:rsidRPr="00E6562D">
        <w:rPr>
          <w:rFonts w:ascii="Arial" w:hAnsi="Arial" w:cs="Arial"/>
          <w:lang w:val="es-ES"/>
        </w:rPr>
        <w:t>Petro</w:t>
      </w:r>
      <w:proofErr w:type="spellEnd"/>
      <w:r w:rsidRPr="00E6562D">
        <w:rPr>
          <w:rFonts w:ascii="Arial" w:hAnsi="Arial" w:cs="Arial"/>
          <w:lang w:val="es-ES"/>
        </w:rPr>
        <w:t xml:space="preserve">, </w:t>
      </w:r>
      <w:proofErr w:type="spellStart"/>
      <w:r w:rsidRPr="00E6562D">
        <w:rPr>
          <w:rFonts w:ascii="Arial" w:hAnsi="Arial" w:cs="Arial"/>
          <w:lang w:val="es-ES"/>
        </w:rPr>
        <w:t>criptoactivo</w:t>
      </w:r>
      <w:proofErr w:type="spellEnd"/>
      <w:r w:rsidRPr="00E6562D">
        <w:rPr>
          <w:rFonts w:ascii="Arial" w:hAnsi="Arial" w:cs="Arial"/>
          <w:lang w:val="es-ES"/>
        </w:rPr>
        <w:t xml:space="preserve"> venezolano, como unidad de cuenta para el pago de tributos y/o sanciones, tendríamos que entonces determinar si el establecimiento de una moneda diferente que no sea el bolívar, es legal para el pago de tributos en Venezuela.  </w:t>
      </w:r>
    </w:p>
    <w:p w:rsidR="00E6562D" w:rsidRPr="00E6562D" w:rsidRDefault="00E6562D" w:rsidP="00E6562D">
      <w:pPr>
        <w:spacing w:before="240" w:after="240" w:line="360" w:lineRule="auto"/>
        <w:jc w:val="both"/>
        <w:rPr>
          <w:rFonts w:ascii="Arial" w:hAnsi="Arial" w:cs="Arial"/>
          <w:lang w:val="es-ES"/>
        </w:rPr>
      </w:pPr>
      <w:r w:rsidRPr="00E6562D">
        <w:rPr>
          <w:rFonts w:ascii="Arial" w:hAnsi="Arial" w:cs="Arial"/>
          <w:lang w:val="es-ES"/>
        </w:rPr>
        <w:t xml:space="preserve">Descriptores: Derecho tributario, principio de legalidad, </w:t>
      </w:r>
      <w:proofErr w:type="spellStart"/>
      <w:r w:rsidRPr="00E6562D">
        <w:rPr>
          <w:rFonts w:ascii="Arial" w:hAnsi="Arial" w:cs="Arial"/>
          <w:lang w:val="es-ES"/>
        </w:rPr>
        <w:t>criptomonedas</w:t>
      </w:r>
      <w:proofErr w:type="spellEnd"/>
      <w:r w:rsidRPr="00E6562D">
        <w:rPr>
          <w:rFonts w:ascii="Arial" w:hAnsi="Arial" w:cs="Arial"/>
          <w:lang w:val="es-ES"/>
        </w:rPr>
        <w:t>, tributos, obligaciones tributarias.</w:t>
      </w:r>
    </w:p>
    <w:p w:rsidR="006741F0" w:rsidRPr="00E6562D" w:rsidRDefault="006741F0">
      <w:pPr>
        <w:rPr>
          <w:lang w:val="es-ES"/>
        </w:rPr>
      </w:pPr>
      <w:bookmarkStart w:id="0" w:name="_GoBack"/>
      <w:bookmarkEnd w:id="0"/>
    </w:p>
    <w:sectPr w:rsidR="006741F0" w:rsidRPr="00E6562D" w:rsidSect="00E6562D">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2D"/>
    <w:rsid w:val="006741F0"/>
    <w:rsid w:val="00E6562D"/>
    <w:rsid w:val="00F410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AC9D"/>
  <w15:chartTrackingRefBased/>
  <w15:docId w15:val="{897263EE-B595-4191-9213-A31F5843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Delgado</dc:creator>
  <cp:keywords/>
  <dc:description/>
  <cp:lastModifiedBy>FOTOCOPIAS ADY1</cp:lastModifiedBy>
  <cp:revision>2</cp:revision>
  <dcterms:created xsi:type="dcterms:W3CDTF">2021-06-07T14:35:00Z</dcterms:created>
  <dcterms:modified xsi:type="dcterms:W3CDTF">2021-06-14T19:21:00Z</dcterms:modified>
</cp:coreProperties>
</file>